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1.01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cultural influences    </w:t>
      </w:r>
      <w:r>
        <w:t xml:space="preserve">   economic influences    </w:t>
      </w:r>
      <w:r>
        <w:t xml:space="preserve">   environmental influences    </w:t>
      </w:r>
      <w:r>
        <w:t xml:space="preserve">   external influnces    </w:t>
      </w:r>
      <w:r>
        <w:t xml:space="preserve">   external influences    </w:t>
      </w:r>
      <w:r>
        <w:t xml:space="preserve">   internal influences    </w:t>
      </w:r>
      <w:r>
        <w:t xml:space="preserve">   media influences    </w:t>
      </w:r>
      <w:r>
        <w:t xml:space="preserve">   physiological influences    </w:t>
      </w:r>
      <w:r>
        <w:t xml:space="preserve">   situational factors    </w:t>
      </w:r>
      <w:r>
        <w:t xml:space="preserve">   technological influences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1.01</dc:title>
  <dcterms:created xsi:type="dcterms:W3CDTF">2021-10-11T07:19:44Z</dcterms:created>
  <dcterms:modified xsi:type="dcterms:W3CDTF">2021-10-11T07:19:44Z</dcterms:modified>
</cp:coreProperties>
</file>