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care workers can support individuals, to maintain their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encourage    </w:t>
      </w:r>
      <w:r>
        <w:t xml:space="preserve">   communication    </w:t>
      </w:r>
      <w:r>
        <w:t xml:space="preserve">   lightwriter    </w:t>
      </w:r>
      <w:r>
        <w:t xml:space="preserve">   dynavox    </w:t>
      </w:r>
      <w:r>
        <w:t xml:space="preserve">   PECS    </w:t>
      </w:r>
      <w:r>
        <w:t xml:space="preserve">   translator    </w:t>
      </w:r>
      <w:r>
        <w:t xml:space="preserve">   interpreter    </w:t>
      </w:r>
      <w:r>
        <w:t xml:space="preserve">   jargon    </w:t>
      </w:r>
      <w:r>
        <w:t xml:space="preserve">   empower    </w:t>
      </w:r>
      <w:r>
        <w:t xml:space="preserve">   self-esteem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care workers can support individuals, to maintain their rights</dc:title>
  <dcterms:created xsi:type="dcterms:W3CDTF">2021-10-11T09:18:24Z</dcterms:created>
  <dcterms:modified xsi:type="dcterms:W3CDTF">2021-10-11T09:18:24Z</dcterms:modified>
</cp:coreProperties>
</file>