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identify factors which might put an individual at risk of skin breakdown and pressure sores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weight loss    </w:t>
      </w:r>
      <w:r>
        <w:t xml:space="preserve">   Muscle spasms    </w:t>
      </w:r>
      <w:r>
        <w:t xml:space="preserve">   smoking    </w:t>
      </w:r>
      <w:r>
        <w:t xml:space="preserve">   Medical conditions    </w:t>
      </w:r>
      <w:r>
        <w:t xml:space="preserve">   Excess moisture or dryness    </w:t>
      </w:r>
      <w:r>
        <w:t xml:space="preserve">   Dementia    </w:t>
      </w:r>
      <w:r>
        <w:t xml:space="preserve">   mental health    </w:t>
      </w:r>
      <w:r>
        <w:t xml:space="preserve">   incontinence    </w:t>
      </w:r>
      <w:r>
        <w:t xml:space="preserve">   imobility    </w:t>
      </w:r>
      <w:r>
        <w:t xml:space="preserve">   dehydration    </w:t>
      </w:r>
      <w:r>
        <w:t xml:space="preserve">   poor nutrition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 factors which might put an individual at risk of skin breakdown and pressure sores </dc:title>
  <dcterms:created xsi:type="dcterms:W3CDTF">2021-10-11T09:30:37Z</dcterms:created>
  <dcterms:modified xsi:type="dcterms:W3CDTF">2021-10-11T09:30:37Z</dcterms:modified>
</cp:coreProperties>
</file>