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comprehensive    </w:t>
      </w:r>
      <w:r>
        <w:t xml:space="preserve">   compensation    </w:t>
      </w:r>
      <w:r>
        <w:t xml:space="preserve">   automobile    </w:t>
      </w:r>
      <w:r>
        <w:t xml:space="preserve">   healthcare    </w:t>
      </w:r>
      <w:r>
        <w:t xml:space="preserve">   payment    </w:t>
      </w:r>
      <w:r>
        <w:t xml:space="preserve">   premiums    </w:t>
      </w:r>
      <w:r>
        <w:t xml:space="preserve">   risk    </w:t>
      </w:r>
      <w:r>
        <w:t xml:space="preserve">   liability    </w:t>
      </w:r>
      <w:r>
        <w:t xml:space="preserve">   deductibles    </w:t>
      </w:r>
      <w:r>
        <w:t xml:space="preserve">   coverage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2021-10-11T09:44:07Z</dcterms:created>
  <dcterms:modified xsi:type="dcterms:W3CDTF">2021-10-11T09:44:07Z</dcterms:modified>
</cp:coreProperties>
</file>