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and ethical responsibilites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Tort    </w:t>
      </w:r>
      <w:r>
        <w:t xml:space="preserve">   Slander    </w:t>
      </w:r>
      <w:r>
        <w:t xml:space="preserve">   Negligence    </w:t>
      </w:r>
      <w:r>
        <w:t xml:space="preserve">   Malpractice    </w:t>
      </w:r>
      <w:r>
        <w:t xml:space="preserve">   Legal    </w:t>
      </w:r>
      <w:r>
        <w:t xml:space="preserve">   Ethics    </w:t>
      </w:r>
      <w:r>
        <w:t xml:space="preserve">   Defamation    </w:t>
      </w:r>
      <w:r>
        <w:t xml:space="preserve">   Contract    </w:t>
      </w:r>
      <w:r>
        <w:t xml:space="preserve">   Confidentiality    </w:t>
      </w:r>
      <w:r>
        <w:t xml:space="preserve">   Battery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responsibilites</dc:title>
  <dcterms:created xsi:type="dcterms:W3CDTF">2021-10-11T10:54:50Z</dcterms:created>
  <dcterms:modified xsi:type="dcterms:W3CDTF">2021-10-11T10:54:50Z</dcterms:modified>
</cp:coreProperties>
</file>