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and social activities in health &amp;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social    </w:t>
      </w:r>
      <w:r>
        <w:t xml:space="preserve">   leisure    </w:t>
      </w:r>
      <w:r>
        <w:t xml:space="preserve">   personcentred    </w:t>
      </w:r>
      <w:r>
        <w:t xml:space="preserve">   daycare    </w:t>
      </w:r>
      <w:r>
        <w:t xml:space="preserve">   residentialhome    </w:t>
      </w:r>
      <w:r>
        <w:t xml:space="preserve">   community    </w:t>
      </w:r>
      <w:r>
        <w:t xml:space="preserve">   local    </w:t>
      </w:r>
      <w:r>
        <w:t xml:space="preserve">   relationships    </w:t>
      </w:r>
      <w:r>
        <w:t xml:space="preserve">   support    </w:t>
      </w:r>
      <w:r>
        <w:t xml:space="preserve">   wellbeing    </w:t>
      </w:r>
      <w:r>
        <w:t xml:space="preserve">   individual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and social activities in health &amp; social care </dc:title>
  <dcterms:created xsi:type="dcterms:W3CDTF">2021-10-11T10:57:25Z</dcterms:created>
  <dcterms:modified xsi:type="dcterms:W3CDTF">2021-10-11T10:57:25Z</dcterms:modified>
</cp:coreProperties>
</file>