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math phrases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applications    </w:t>
      </w:r>
      <w:r>
        <w:t xml:space="preserve">   corresponding    </w:t>
      </w:r>
      <w:r>
        <w:t xml:space="preserve">   properties    </w:t>
      </w:r>
      <w:r>
        <w:t xml:space="preserve">   practice    </w:t>
      </w:r>
      <w:r>
        <w:t xml:space="preserve">   numbers    </w:t>
      </w:r>
      <w:r>
        <w:t xml:space="preserve">   using    </w:t>
      </w:r>
      <w:r>
        <w:t xml:space="preserve">   equation    </w:t>
      </w:r>
      <w:r>
        <w:t xml:space="preserve">   isolate    </w:t>
      </w:r>
      <w:r>
        <w:t xml:space="preserve">   variable    </w:t>
      </w:r>
      <w:r>
        <w:t xml:space="preserve">   solution    </w:t>
      </w:r>
      <w:r>
        <w:t xml:space="preserve">   solve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phrases</dc:title>
  <dcterms:created xsi:type="dcterms:W3CDTF">2021-10-11T11:53:46Z</dcterms:created>
  <dcterms:modified xsi:type="dcterms:W3CDTF">2021-10-11T11:53:46Z</dcterms:modified>
</cp:coreProperties>
</file>