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assisting week 1 cont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resist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reducing the number of pathogens and the transmission of disease ( clean technique)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nonliving objects that may transmit infectious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between earliest symptoms and appearance of physical sign, such as fever or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harmless organism that does not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hairlike process projecting from the epithelial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skin cell that produces keratin, the hard protein material found in the hair, skin, and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hollow or cavity with secretory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the skin, hair, and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engulfing and destruction of microorganisms or foreign matter by phagocytic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making a sterile field unclean of having pathogens placed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agency of The Public Health Operating Division of the US Dept of Health &amp; Human Services  that studies and monitors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CDC's original guidelines for preventing the transmission of Aid's and other bloodborne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layer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clothing and equipment such as gloves, gowns, and masks that are worn to prevent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 based on symptoms of disease and transmission method of the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between exposure to infection and the appearance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resulting from the hospitalization of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universal precautions in institutional healthcare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deepest layer for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invasion of the body by a pathogenic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interaction between body systems that maintain optimum body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epithelium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 that can be viewed under a microscope , but not the naked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from pathogens and all microorganisms </w:t>
            </w:r>
          </w:p>
        </w:tc>
      </w:tr>
    </w:tbl>
    <w:p>
      <w:pPr>
        <w:pStyle w:val="WordBankLarge"/>
      </w:pPr>
      <w:r>
        <w:t xml:space="preserve">   Center for Disease Control     </w:t>
      </w:r>
      <w:r>
        <w:t xml:space="preserve">   cilia     </w:t>
      </w:r>
      <w:r>
        <w:t xml:space="preserve">   contamination     </w:t>
      </w:r>
      <w:r>
        <w:t xml:space="preserve">   dermis     </w:t>
      </w:r>
      <w:r>
        <w:t xml:space="preserve">   epidermis     </w:t>
      </w:r>
      <w:r>
        <w:t xml:space="preserve">   epithelial     </w:t>
      </w:r>
      <w:r>
        <w:t xml:space="preserve">   follicle     </w:t>
      </w:r>
      <w:r>
        <w:t xml:space="preserve">   fomites    </w:t>
      </w:r>
      <w:r>
        <w:t xml:space="preserve">   homeostasis    </w:t>
      </w:r>
      <w:r>
        <w:t xml:space="preserve">   immunity     </w:t>
      </w:r>
      <w:r>
        <w:t xml:space="preserve">   incubation     </w:t>
      </w:r>
      <w:r>
        <w:t xml:space="preserve">   infection    </w:t>
      </w:r>
      <w:r>
        <w:t xml:space="preserve">   integumentary     </w:t>
      </w:r>
      <w:r>
        <w:t xml:space="preserve">   medical asepsis    </w:t>
      </w:r>
      <w:r>
        <w:t xml:space="preserve">   keratinocyte    </w:t>
      </w:r>
      <w:r>
        <w:t xml:space="preserve">   microorganism     </w:t>
      </w:r>
      <w:r>
        <w:t xml:space="preserve">   nonpathogen     </w:t>
      </w:r>
      <w:r>
        <w:t xml:space="preserve">   nosocomial infection     </w:t>
      </w:r>
      <w:r>
        <w:t xml:space="preserve">   personal protective equipment     </w:t>
      </w:r>
      <w:r>
        <w:t xml:space="preserve">   phagocytosis     </w:t>
      </w:r>
      <w:r>
        <w:t xml:space="preserve">   prodromal     </w:t>
      </w:r>
      <w:r>
        <w:t xml:space="preserve">   standard precautions    </w:t>
      </w:r>
      <w:r>
        <w:t xml:space="preserve">   sterile    </w:t>
      </w:r>
      <w:r>
        <w:t xml:space="preserve">   subcutaneous tissue    </w:t>
      </w:r>
      <w:r>
        <w:t xml:space="preserve">   transmission-based precautions     </w:t>
      </w:r>
      <w:r>
        <w:t xml:space="preserve">   Universal Precautions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assisting week 1 cont</dc:title>
  <dcterms:created xsi:type="dcterms:W3CDTF">2021-10-11T12:07:12Z</dcterms:created>
  <dcterms:modified xsi:type="dcterms:W3CDTF">2021-10-11T12:07:12Z</dcterms:modified>
</cp:coreProperties>
</file>