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neonatal HSV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infection    </w:t>
      </w:r>
      <w:r>
        <w:t xml:space="preserve">   allergic    </w:t>
      </w:r>
      <w:r>
        <w:t xml:space="preserve">   hygiene    </w:t>
      </w:r>
      <w:r>
        <w:t xml:space="preserve">   outbreak    </w:t>
      </w:r>
      <w:r>
        <w:t xml:space="preserve">   lesions    </w:t>
      </w:r>
      <w:r>
        <w:t xml:space="preserve">   damage    </w:t>
      </w:r>
      <w:r>
        <w:t xml:space="preserve">   latent    </w:t>
      </w:r>
      <w:r>
        <w:t xml:space="preserve">   acyclovir    </w:t>
      </w:r>
      <w:r>
        <w:t xml:space="preserve">   hsv pcr    </w:t>
      </w:r>
      <w:r>
        <w:t xml:space="preserve">   viral culture    </w:t>
      </w:r>
      <w:r>
        <w:t xml:space="preserve">   cns hsv    </w:t>
      </w:r>
      <w:r>
        <w:t xml:space="preserve">   neonatal hsv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neonatal HSV</dc:title>
  <dcterms:created xsi:type="dcterms:W3CDTF">2021-10-11T13:14:04Z</dcterms:created>
  <dcterms:modified xsi:type="dcterms:W3CDTF">2021-10-11T13:14:04Z</dcterms:modified>
</cp:coreProperties>
</file>