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purpose of the written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joshua stood between wht two mountains tocompare disbediece and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Hebrew word for God's presence?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goal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Bible reffering to when it says went "up or 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 to understanding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accept biblical innerancy is to believe by faith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concepy of creation is clearly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Israelites slaves for 400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 word for trinity </w:t>
            </w:r>
          </w:p>
        </w:tc>
      </w:tr>
    </w:tbl>
    <w:p>
      <w:pPr>
        <w:pStyle w:val="WordBankLarge"/>
      </w:pPr>
      <w:r>
        <w:t xml:space="preserve">   elevation    </w:t>
      </w:r>
      <w:r>
        <w:t xml:space="preserve">   Shekinah     </w:t>
      </w:r>
      <w:r>
        <w:t xml:space="preserve">   God is the author through holy men    </w:t>
      </w:r>
      <w:r>
        <w:t xml:space="preserve">   to know God and better    </w:t>
      </w:r>
      <w:r>
        <w:t xml:space="preserve">   to create acceptable worshippers    </w:t>
      </w:r>
      <w:r>
        <w:t xml:space="preserve">   that there are no errors in the Bible    </w:t>
      </w:r>
      <w:r>
        <w:t xml:space="preserve">   Elohim    </w:t>
      </w:r>
      <w:r>
        <w:t xml:space="preserve">   singular act    </w:t>
      </w:r>
      <w:r>
        <w:t xml:space="preserve">   Mt Ebal and Mt. Gerizim    </w:t>
      </w:r>
      <w:r>
        <w:t xml:space="preserve">   palestine    </w:t>
      </w:r>
      <w:r>
        <w:t xml:space="preserve">   Egypt    </w:t>
      </w:r>
      <w:r>
        <w:t xml:space="preserve">   genesis-deuteronomy    </w:t>
      </w:r>
      <w:r>
        <w:t xml:space="preserve">   joshua-esther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crossword</dc:title>
  <dcterms:created xsi:type="dcterms:W3CDTF">2021-10-11T13:41:15Z</dcterms:created>
  <dcterms:modified xsi:type="dcterms:W3CDTF">2021-10-11T13:41:15Z</dcterms:modified>
</cp:coreProperties>
</file>