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open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counterculture    </w:t>
      </w:r>
      <w:r>
        <w:t xml:space="preserve">   social movements    </w:t>
      </w:r>
      <w:r>
        <w:t xml:space="preserve">   Home-like setting    </w:t>
      </w:r>
      <w:r>
        <w:t xml:space="preserve">   workshops    </w:t>
      </w:r>
      <w:r>
        <w:t xml:space="preserve">   interest areas    </w:t>
      </w:r>
      <w:r>
        <w:t xml:space="preserve">   movable dividers    </w:t>
      </w:r>
      <w:r>
        <w:t xml:space="preserve">   teacher-directed learning    </w:t>
      </w:r>
      <w:r>
        <w:t xml:space="preserve">   student-initiated learning    </w:t>
      </w:r>
      <w:r>
        <w:t xml:space="preserve">   teachers work as coaches    </w:t>
      </w:r>
      <w:r>
        <w:t xml:space="preserve">   student directed learning    </w:t>
      </w:r>
      <w:r>
        <w:t xml:space="preserve">   teacher teams    </w:t>
      </w:r>
      <w:r>
        <w:t xml:space="preserve">   open classroom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classroom</dc:title>
  <dcterms:created xsi:type="dcterms:W3CDTF">2021-10-11T13:45:45Z</dcterms:created>
  <dcterms:modified xsi:type="dcterms:W3CDTF">2021-10-11T13:45:45Z</dcterms:modified>
</cp:coreProperties>
</file>