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peritonitis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appendicitis    </w:t>
      </w:r>
      <w:r>
        <w:t xml:space="preserve">   fatigue    </w:t>
      </w:r>
      <w:r>
        <w:t xml:space="preserve">   fungal infection    </w:t>
      </w:r>
      <w:r>
        <w:t xml:space="preserve">   laparotomy    </w:t>
      </w:r>
      <w:r>
        <w:t xml:space="preserve">   nausea    </w:t>
      </w:r>
      <w:r>
        <w:t xml:space="preserve">   nutrition    </w:t>
      </w:r>
      <w:r>
        <w:t xml:space="preserve">   peptic ulcer    </w:t>
      </w:r>
      <w:r>
        <w:t xml:space="preserve">   peritonitis    </w:t>
      </w:r>
      <w:r>
        <w:t xml:space="preserve">   primary    </w:t>
      </w:r>
      <w:r>
        <w:t xml:space="preserve">   secondary    </w:t>
      </w:r>
      <w:r>
        <w:t xml:space="preserve">   surgical wound    </w:t>
      </w:r>
      <w:r>
        <w:t xml:space="preserve">   trauma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peritonitis</dc:title>
  <dcterms:created xsi:type="dcterms:W3CDTF">2021-10-11T14:14:23Z</dcterms:created>
  <dcterms:modified xsi:type="dcterms:W3CDTF">2021-10-11T14:14:23Z</dcterms:modified>
</cp:coreProperties>
</file>