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sensory disability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braille    </w:t>
      </w:r>
      <w:r>
        <w:t xml:space="preserve">   community care    </w:t>
      </w:r>
      <w:r>
        <w:t xml:space="preserve">   disability    </w:t>
      </w:r>
      <w:r>
        <w:t xml:space="preserve">   human rights    </w:t>
      </w:r>
      <w:r>
        <w:t xml:space="preserve">   impairment    </w:t>
      </w:r>
      <w:r>
        <w:t xml:space="preserve">   inclusion    </w:t>
      </w:r>
      <w:r>
        <w:t xml:space="preserve">   physical    </w:t>
      </w:r>
      <w:r>
        <w:t xml:space="preserve">   poverty    </w:t>
      </w:r>
      <w:r>
        <w:t xml:space="preserve">   sensory    </w:t>
      </w:r>
      <w:r>
        <w:t xml:space="preserve">   specialist practitioner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sensory disability</dc:title>
  <dcterms:created xsi:type="dcterms:W3CDTF">2021-10-11T14:24:40Z</dcterms:created>
  <dcterms:modified xsi:type="dcterms:W3CDTF">2021-10-11T14:24:40Z</dcterms:modified>
</cp:coreProperties>
</file>