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positions and STNA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disease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pertains to muscles and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head is elevated 80-90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person lies on one side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vomitus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recording what someone eats and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assisting residents to be aware of time, place and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loss of function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Pertaining to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lesion cause by unreleased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becoming restless and agitated in the late afternoon, evening or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head of bed is elevated 15-30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used instead of physical or chemical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distortion of a body by 2 oppositely directed parallel forces(can cause skin damage)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taking what belongs to someone else and using it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puncture proof container designed for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resident who shows no interest in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control bladder or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paralysis of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assigned by law as the legal advocate for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Mucous secretion from the lungs, trachea, and bronchi expelled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recording what comes out of someones body</w:t>
            </w:r>
          </w:p>
        </w:tc>
      </w:tr>
    </w:tbl>
    <w:p>
      <w:pPr>
        <w:pStyle w:val="WordBankLarge"/>
      </w:pPr>
      <w:r>
        <w:t xml:space="preserve">   LowFowler    </w:t>
      </w:r>
      <w:r>
        <w:t xml:space="preserve">   highfowler    </w:t>
      </w:r>
      <w:r>
        <w:t xml:space="preserve">   Lateral position    </w:t>
      </w:r>
      <w:r>
        <w:t xml:space="preserve">   OHSA    </w:t>
      </w:r>
      <w:r>
        <w:t xml:space="preserve">   Sharps container    </w:t>
      </w:r>
      <w:r>
        <w:t xml:space="preserve">   shearing    </w:t>
      </w:r>
      <w:r>
        <w:t xml:space="preserve">   Sputum    </w:t>
      </w:r>
      <w:r>
        <w:t xml:space="preserve">   sundowning    </w:t>
      </w:r>
      <w:r>
        <w:t xml:space="preserve">   tympanic    </w:t>
      </w:r>
      <w:r>
        <w:t xml:space="preserve">   reality orientation    </w:t>
      </w:r>
      <w:r>
        <w:t xml:space="preserve">   restrain alternatives    </w:t>
      </w:r>
      <w:r>
        <w:t xml:space="preserve">   skin integrity    </w:t>
      </w:r>
      <w:r>
        <w:t xml:space="preserve">   emesis    </w:t>
      </w:r>
      <w:r>
        <w:t xml:space="preserve">   airborne    </w:t>
      </w:r>
      <w:r>
        <w:t xml:space="preserve">   withdrawn resident    </w:t>
      </w:r>
      <w:r>
        <w:t xml:space="preserve">   impairment    </w:t>
      </w:r>
      <w:r>
        <w:t xml:space="preserve">   incontinence    </w:t>
      </w:r>
      <w:r>
        <w:t xml:space="preserve">   multiple sclerosis    </w:t>
      </w:r>
      <w:r>
        <w:t xml:space="preserve">   ombudsman    </w:t>
      </w:r>
      <w:r>
        <w:t xml:space="preserve">   pressure ulcer    </w:t>
      </w:r>
      <w:r>
        <w:t xml:space="preserve">   musculoskeletal    </w:t>
      </w:r>
      <w:r>
        <w:t xml:space="preserve">   misappropriation     </w:t>
      </w:r>
      <w:r>
        <w:t xml:space="preserve">   hemiplegia    </w:t>
      </w:r>
      <w:r>
        <w:t xml:space="preserve">   Intake    </w:t>
      </w:r>
      <w:r>
        <w:t xml:space="preserve">   Output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positions and STNA terms</dc:title>
  <dcterms:created xsi:type="dcterms:W3CDTF">2021-10-11T14:42:14Z</dcterms:created>
  <dcterms:modified xsi:type="dcterms:W3CDTF">2021-10-11T14:42:14Z</dcterms:modified>
</cp:coreProperties>
</file>