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Pr>
      <w:tblGrid>
        <w:gridCol w:w="100"/>
        <w:gridCol w:w="100"/>
      </w:tblGrid>
      <w:tr>
        <w:tc>
          <w:p>
            <w:pPr>
              <w:pStyle w:val="NameDatePeriod"/>
            </w:pPr>
            <w:r>
              <w:t xml:space="preserve">Name: ___________________________________</w:t>
            </w:r>
          </w:p>
        </w:tc>
        <w:tc>
          <w:p>
            <w:pPr>
              <w:jc w:val="right"/>
              <w:pStyle w:val="NameDatePeriod"/>
            </w:pPr>
            <w:r>
              <w:t xml:space="preserve">Date: ______________</w:t>
            </w:r>
          </w:p>
        </w:tc>
      </w:tr>
    </w:tbl>
    <w:p>
      <w:pPr>
        <w:pStyle w:val="PuzzleTitle"/>
      </w:pPr>
      <w:r>
        <w:t xml:space="preserve">practice test 2</w:t>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tblGrid>
      <w:tr>
        <w:trPr>
          <w:trHeight w:val="300" w:hRule="atLeast"/>
        </w:trPr>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1</w:t>
            </w:r>
          </w:p>
        </w:tc>
        <w:tc>
          <w:p/>
        </w:tc>
        <w:tc>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r>
      <w:tr>
        <w:trPr>
          <w:trHeight w:val="300" w:hRule="atLeast"/>
        </w:trPr>
        <w:tc>
          <w:p/>
        </w:tc>
        <w:tc>
          <w:p/>
        </w:tc>
        <w:tc>
          <w:p/>
        </w:tc>
        <w:tc>
          <w:p/>
        </w:tc>
        <w:tc>
          <w:p/>
        </w:tc>
        <w:tc>
          <w:p/>
        </w:tc>
        <w:tc>
          <w:p/>
        </w:tc>
        <w:tc>
          <w:tcPr>
            <w:tcBorders>
              <w:top w:val="single"/>
              <w:bottom w:val="single"/>
              <w:left w:val="single"/>
              <w:right w:val="single"/>
            </w:tcBorders>
            <w:vAlign w:val="top"/>
          </w:tcPr>
          <w:p>
            <w:pPr>
              <w:pStyle w:val="CrossgridTiny"/>
            </w:pPr>
            <w:r>
              <w:t xml:space="preserve">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3</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pPr>
              <w:pStyle w:val="CrossgridTiny"/>
            </w:pPr>
            <w:r>
              <w:t xml:space="preserve">4</w:t>
            </w:r>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5</w:t>
            </w:r>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pPr>
              <w:pStyle w:val="CrossgridTiny"/>
            </w:pPr>
            <w:r>
              <w:t xml:space="preserve">6</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tcPr>
            <w:tcBorders>
              <w:top w:val="single"/>
              <w:bottom w:val="single"/>
              <w:left w:val="single"/>
              <w:right w:val="single"/>
            </w:tcBorders>
            <w:vAlign w:val="top"/>
          </w:tcPr>
          <w:p/>
        </w:tc>
        <w:tc>
          <w:p/>
        </w:tc>
        <w:tc>
          <w:p/>
        </w:tc>
      </w:tr>
      <w:tr>
        <w:trPr>
          <w:trHeight w:val="300" w:hRule="atLeast"/>
        </w:trPr>
        <w:tc>
          <w:p/>
        </w:tc>
        <w:tc>
          <w:p/>
        </w:tc>
        <w:tc>
          <w:p/>
        </w:tc>
        <w:tc>
          <w:p/>
        </w:tc>
        <w:tc>
          <w:p/>
        </w:tc>
        <w:tc>
          <w:p/>
        </w:tc>
        <w:tc>
          <w:p/>
        </w:tc>
        <w:tc>
          <w:tcPr>
            <w:tcBorders>
              <w:top w:val="single"/>
              <w:bottom w:val="single"/>
              <w:left w:val="single"/>
              <w:right w:val="single"/>
            </w:tcBorders>
            <w:vAlign w:val="top"/>
          </w:tcPr>
          <w:p>
            <w:pPr>
              <w:pStyle w:val="CrossgridTiny"/>
            </w:pPr>
            <w:r>
              <w:t xml:space="preserve">7</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8</w:t>
            </w:r>
          </w:p>
        </w:tc>
        <w:tc>
          <w:p/>
        </w:tc>
        <w:tc>
          <w:p/>
        </w:tc>
        <w:tc>
          <w:p/>
        </w:tc>
        <w:tc>
          <w:tcPr>
            <w:tcBorders>
              <w:top w:val="single"/>
              <w:bottom w:val="single"/>
              <w:left w:val="single"/>
              <w:right w:val="single"/>
            </w:tcBorders>
            <w:vAlign w:val="top"/>
          </w:tcPr>
          <w:p>
            <w:pPr>
              <w:pStyle w:val="CrossgridTiny"/>
            </w:pPr>
            <w:r>
              <w:t xml:space="preserve">9</w:t>
            </w:r>
          </w:p>
        </w:tc>
        <w:tc>
          <w:p/>
        </w:tc>
        <w:tc>
          <w:p/>
        </w:tc>
        <w:tc>
          <w:p/>
        </w:tc>
        <w:tc>
          <w:p/>
        </w:tc>
        <w:tc>
          <w:p/>
        </w:tc>
        <w:tc>
          <w:p/>
        </w:tc>
        <w:tc>
          <w:tcPr>
            <w:tcBorders>
              <w:top w:val="single"/>
              <w:bottom w:val="single"/>
              <w:left w:val="single"/>
              <w:right w:val="single"/>
            </w:tcBorders>
            <w:vAlign w:val="top"/>
          </w:tcPr>
          <w:p>
            <w:pPr>
              <w:pStyle w:val="CrossgridTiny"/>
            </w:pPr>
            <w:r>
              <w:t xml:space="preserve">10</w:t>
            </w:r>
          </w:p>
        </w:tc>
        <w:tc>
          <w:p/>
        </w:tc>
        <w:tc>
          <w:tcPr>
            <w:tcBorders>
              <w:top w:val="single"/>
              <w:bottom w:val="single"/>
              <w:left w:val="single"/>
              <w:right w:val="single"/>
            </w:tcBorders>
            <w:vAlign w:val="top"/>
          </w:tcPr>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Tiny"/>
            </w:pPr>
            <w:r>
              <w:t xml:space="preserve">11</w:t>
            </w:r>
          </w:p>
        </w:tc>
        <w:tc>
          <w:p/>
        </w:tc>
        <w:tc>
          <w:tcPr>
            <w:tcBorders>
              <w:top w:val="single"/>
              <w:bottom w:val="single"/>
              <w:left w:val="single"/>
              <w:right w:val="single"/>
            </w:tcBorders>
            <w:vAlign w:val="top"/>
          </w:tcPr>
          <w:p>
            <w:pPr>
              <w:pStyle w:val="CrossgridTiny"/>
            </w:pPr>
            <w:r>
              <w:t xml:space="preserve">12</w:t>
            </w: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13</w:t>
            </w: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14</w:t>
            </w: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r>
      <w:tr>
        <w:trPr>
          <w:trHeight w:val="300" w:hRule="atLeast"/>
        </w:trPr>
        <w:tc>
          <w:p/>
        </w:tc>
        <w:tc>
          <w:p/>
        </w:tc>
        <w:tc>
          <w:p/>
        </w:tc>
        <w:tc>
          <w:tcPr>
            <w:tcBorders>
              <w:top w:val="single"/>
              <w:bottom w:val="single"/>
              <w:left w:val="single"/>
              <w:right w:val="single"/>
            </w:tcBorders>
            <w:vAlign w:val="top"/>
          </w:tcPr>
          <w:p>
            <w:pPr>
              <w:pStyle w:val="CrossgridTiny"/>
            </w:pPr>
            <w:r>
              <w:t xml:space="preserve">15</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r>
      <w:tr>
        <w:trPr>
          <w:trHeight w:val="300" w:hRule="atLeast"/>
        </w:trPr>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r>
      <w:tr>
        <w:trPr>
          <w:trHeight w:val="300" w:hRule="atLeast"/>
        </w:trPr>
        <w:tc>
          <w:p/>
        </w:tc>
        <w:tc>
          <w:p/>
        </w:tc>
        <w:tc>
          <w:p/>
        </w:tc>
        <w:tc>
          <w:p/>
        </w:tc>
        <w:tc>
          <w:tcPr>
            <w:tcBorders>
              <w:top w:val="single"/>
              <w:bottom w:val="single"/>
              <w:left w:val="single"/>
              <w:right w:val="single"/>
            </w:tcBorders>
            <w:vAlign w:val="top"/>
          </w:tcPr>
          <w:p>
            <w:pPr>
              <w:pStyle w:val="CrossgridTiny"/>
            </w:pPr>
            <w:r>
              <w:t xml:space="preserve">16</w:t>
            </w:r>
          </w:p>
        </w:tc>
        <w:tc>
          <w:p/>
        </w:tc>
        <w:tc>
          <w:p/>
        </w:tc>
        <w:tc>
          <w:tcPr>
            <w:tcBorders>
              <w:top w:val="single"/>
              <w:bottom w:val="single"/>
              <w:left w:val="single"/>
              <w:right w:val="single"/>
            </w:tcBorders>
            <w:vAlign w:val="top"/>
          </w:tcPr>
          <w:p>
            <w:pPr>
              <w:pStyle w:val="CrossgridTiny"/>
            </w:pPr>
            <w:r>
              <w:t xml:space="preserve">17</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18</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Tiny"/>
            </w:pPr>
            <w:r>
              <w:t xml:space="preserve">19</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Tiny"/>
            </w:pPr>
            <w:r>
              <w:t xml:space="preserve">20</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21</w:t>
            </w:r>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22</w:t>
            </w:r>
          </w:p>
        </w:tc>
        <w:tc>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pPr>
              <w:pStyle w:val="CrossgridTiny"/>
            </w:pPr>
            <w:r>
              <w:t xml:space="preserve">23</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r>
      <w:tr>
        <w:trPr>
          <w:trHeight w:val="300" w:hRule="atLeast"/>
        </w:trPr>
        <w:tc>
          <w:p/>
        </w:tc>
        <w:tc>
          <w:p/>
        </w:tc>
        <w:tc>
          <w:tcPr>
            <w:tcBorders>
              <w:top w:val="single"/>
              <w:bottom w:val="single"/>
              <w:left w:val="single"/>
              <w:right w:val="single"/>
            </w:tcBorders>
            <w:vAlign w:val="top"/>
          </w:tcPr>
          <w:p>
            <w:pPr>
              <w:pStyle w:val="CrossgridTiny"/>
            </w:pPr>
            <w:r>
              <w:t xml:space="preserve">24</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25</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26</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r>
      <w:tr>
        <w:trPr>
          <w:trHeight w:val="300" w:hRule="atLeast"/>
        </w:trPr>
        <w:tc>
          <w:p/>
        </w:tc>
        <w:tc>
          <w:tcPr>
            <w:tcBorders>
              <w:top w:val="single"/>
              <w:bottom w:val="single"/>
              <w:left w:val="single"/>
              <w:right w:val="single"/>
            </w:tcBorders>
            <w:vAlign w:val="top"/>
          </w:tcPr>
          <w:p>
            <w:pPr>
              <w:pStyle w:val="CrossgridTiny"/>
            </w:pPr>
            <w:r>
              <w:t xml:space="preserve">27</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pPr>
              <w:pStyle w:val="CrossgridTiny"/>
            </w:pPr>
            <w:r>
              <w:t xml:space="preserve">28</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r>
      <w:tr>
        <w:trPr>
          <w:trHeight w:val="300" w:hRule="atLeast"/>
        </w:trPr>
        <w:tc>
          <w:p/>
        </w:tc>
        <w:tc>
          <w:p/>
        </w:tc>
        <w:tc>
          <w:p/>
        </w:tc>
        <w:tc>
          <w:tcPr>
            <w:tcBorders>
              <w:top w:val="single"/>
              <w:bottom w:val="single"/>
              <w:left w:val="single"/>
              <w:right w:val="single"/>
            </w:tcBorders>
            <w:vAlign w:val="top"/>
          </w:tcPr>
          <w:p>
            <w:pPr>
              <w:pStyle w:val="CrossgridTiny"/>
            </w:pPr>
            <w:r>
              <w:t xml:space="preserve">29</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30</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p/>
        </w:tc>
        <w:tc>
          <w:p/>
        </w:tc>
        <w:tc>
          <w:p/>
        </w:tc>
        <w:tc>
          <w:p/>
        </w:tc>
        <w:tc>
          <w:p/>
        </w:tc>
        <w:tc>
          <w:p/>
        </w:tc>
        <w:tc>
          <w:p/>
        </w:tc>
        <w:tc>
          <w:p/>
        </w:tc>
        <w:tc>
          <w:p/>
        </w:tc>
        <w:tc>
          <w:p/>
        </w:tc>
        <w:tc>
          <w:p/>
        </w:tc>
        <w:tc>
          <w:p/>
        </w:tc>
      </w:tr>
      <w:tr>
        <w:trPr>
          <w:trHeight w:val="300" w:hRule="atLeast"/>
        </w:trPr>
        <w:tc>
          <w:p/>
        </w:tc>
        <w:tc>
          <w:p/>
        </w:tc>
        <w:tc>
          <w:tcPr>
            <w:tcBorders>
              <w:top w:val="single"/>
              <w:bottom w:val="single"/>
              <w:left w:val="single"/>
              <w:right w:val="single"/>
            </w:tcBorders>
            <w:vAlign w:val="top"/>
          </w:tcPr>
          <w:p>
            <w:pPr>
              <w:pStyle w:val="CrossgridTiny"/>
            </w:pPr>
            <w:r>
              <w:t xml:space="preserve">31</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p/>
        </w:tc>
        <w:tc>
          <w:p/>
        </w:tc>
        <w:tc>
          <w:p/>
        </w:tc>
        <w:tc>
          <w:p/>
        </w:tc>
        <w:tc>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pPr>
              <w:pStyle w:val="CrossgridTiny"/>
            </w:pPr>
            <w:r>
              <w:t xml:space="preserve">32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r>
    </w:tbl>
    <w:p>
      <w:pPr>
        <w:pStyle w:val="CluesTiny"/>
      </w:pPr>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tblGrid>
      <w:tr>
        <w:tc>
          <w:p>
            <w:pPr>
              <w:pStyle w:val="CluesTiny"/>
            </w:pPr>
            <w:r>
              <w:rPr>
                <w:b w:val="true"/>
                <w:bCs w:val="true"/>
              </w:rPr>
              <w:t xml:space="preserve">Across</w:t>
            </w:r>
          </w:p>
          <w:p>
            <w:pPr>
              <w:keepLines/>
              <w:pStyle w:val="CluesTiny"/>
            </w:pPr>
            <w:r>
              <w:rPr>
                <w:b w:val="true"/>
                <w:bCs w:val="true"/>
              </w:rPr>
              <w:t xml:space="preserve">2. </w:t>
            </w:r>
            <w:r>
              <w:t xml:space="preserve">Laws that impose maximum penalties for certain crimes.</w:t>
            </w:r>
          </w:p>
          <w:p>
            <w:pPr>
              <w:keepLines/>
              <w:pStyle w:val="CluesTiny"/>
            </w:pPr>
            <w:r>
              <w:rPr>
                <w:b w:val="true"/>
                <w:bCs w:val="true"/>
              </w:rPr>
              <w:t xml:space="preserve">3. </w:t>
            </w:r>
            <w:r>
              <w:t xml:space="preserve">When an authorized agent of the government intentionally inflicts pain, loss of liberty, or some other unpleasant consequence on a person who has been convicted of a crime =.</w:t>
            </w:r>
          </w:p>
          <w:p>
            <w:pPr>
              <w:keepLines/>
              <w:pStyle w:val="CluesTiny"/>
            </w:pPr>
            <w:r>
              <w:rPr>
                <w:b w:val="true"/>
                <w:bCs w:val="true"/>
              </w:rPr>
              <w:t xml:space="preserve">6. </w:t>
            </w:r>
            <w:r>
              <w:t xml:space="preserve">when a person, with intent performs any act that constitutes a substantial step toward the commission of that offense.</w:t>
            </w:r>
          </w:p>
          <w:p>
            <w:pPr>
              <w:keepLines/>
              <w:pStyle w:val="CluesTiny"/>
            </w:pPr>
            <w:r>
              <w:rPr>
                <w:b w:val="true"/>
                <w:bCs w:val="true"/>
              </w:rPr>
              <w:t xml:space="preserve">7. </w:t>
            </w:r>
            <w:r>
              <w:t xml:space="preserve">Substantial Step Test requires a suspect must have done or omitted to do something that constitutes a substantial step in the commission of the substantive offense </w:t>
            </w:r>
          </w:p>
          <w:p>
            <w:pPr>
              <w:keepLines/>
              <w:pStyle w:val="CluesTiny"/>
            </w:pPr>
            <w:r>
              <w:rPr>
                <w:b w:val="true"/>
                <w:bCs w:val="true"/>
              </w:rPr>
              <w:t xml:space="preserve">15. </w:t>
            </w:r>
            <w:r>
              <w:t xml:space="preserve">The suspension of an sentence and supervision of the offender in the community under specified conditions of supervision. Usually prior to incarceration</w:t>
            </w:r>
          </w:p>
          <w:p>
            <w:pPr>
              <w:keepLines/>
              <w:pStyle w:val="CluesTiny"/>
            </w:pPr>
            <w:r>
              <w:rPr>
                <w:b w:val="true"/>
                <w:bCs w:val="true"/>
              </w:rPr>
              <w:t xml:space="preserve">17. </w:t>
            </w:r>
            <w:r>
              <w:t xml:space="preserve">The unlawful killing of a fetus.</w:t>
            </w:r>
          </w:p>
          <w:p>
            <w:pPr>
              <w:keepLines/>
              <w:pStyle w:val="CluesTiny"/>
            </w:pPr>
            <w:r>
              <w:rPr>
                <w:b w:val="true"/>
                <w:bCs w:val="true"/>
              </w:rPr>
              <w:t xml:space="preserve">18. </w:t>
            </w:r>
            <w:r>
              <w:t xml:space="preserve">A defense where a person is faced with a choice between two courses of action, and chooses the lesser of two evils</w:t>
            </w:r>
          </w:p>
          <w:p>
            <w:pPr>
              <w:keepLines/>
              <w:pStyle w:val="CluesTiny"/>
            </w:pPr>
            <w:r>
              <w:rPr>
                <w:b w:val="true"/>
                <w:bCs w:val="true"/>
              </w:rPr>
              <w:t xml:space="preserve">19. </w:t>
            </w:r>
            <w:r>
              <w:t xml:space="preserve">Legal Impossibility is when intended acts even if completed would not amount to a crime </w:t>
            </w:r>
          </w:p>
          <w:p>
            <w:pPr>
              <w:keepLines/>
              <w:pStyle w:val="CluesTiny"/>
            </w:pPr>
            <w:r>
              <w:rPr>
                <w:b w:val="true"/>
                <w:bCs w:val="true"/>
              </w:rPr>
              <w:t xml:space="preserve">20. </w:t>
            </w:r>
            <w:r>
              <w:t xml:space="preserve">The release of an offender from prison prior to the expiration of the full term of incarceration. offenders are supervised in the community under conditions of supervision</w:t>
            </w:r>
          </w:p>
          <w:p>
            <w:pPr>
              <w:keepLines/>
              <w:pStyle w:val="CluesTiny"/>
            </w:pPr>
            <w:r>
              <w:rPr>
                <w:b w:val="true"/>
                <w:bCs w:val="true"/>
              </w:rPr>
              <w:t xml:space="preserve">23. </w:t>
            </w:r>
            <w:r>
              <w:t xml:space="preserve">A charge of murder with the maximum punishment of death, often called murder in the 1st degree </w:t>
            </w:r>
          </w:p>
          <w:p>
            <w:pPr>
              <w:keepLines/>
              <w:pStyle w:val="CluesTiny"/>
            </w:pPr>
            <w:r>
              <w:rPr>
                <w:b w:val="true"/>
                <w:bCs w:val="true"/>
              </w:rPr>
              <w:t xml:space="preserve">24. </w:t>
            </w:r>
            <w:r>
              <w:t xml:space="preserve">Physical Proximity Test A test that determines that an attempt has occurred when the perpetrator's conduct has not advanced to the last step has advanced sufficiently near to the completed crime which then constitutes a substantial step toward complete commission of the offense.</w:t>
            </w:r>
          </w:p>
          <w:p>
            <w:pPr>
              <w:keepLines/>
              <w:pStyle w:val="CluesTiny"/>
            </w:pPr>
            <w:r>
              <w:rPr>
                <w:b w:val="true"/>
                <w:bCs w:val="true"/>
              </w:rPr>
              <w:t xml:space="preserve">25. </w:t>
            </w:r>
            <w:r>
              <w:t xml:space="preserve">Where the law recognizes that the accused was suffering from a mental disease when the crime occurred</w:t>
            </w:r>
          </w:p>
          <w:p>
            <w:pPr>
              <w:keepLines/>
              <w:pStyle w:val="CluesTiny"/>
            </w:pPr>
            <w:r>
              <w:rPr>
                <w:b w:val="true"/>
                <w:bCs w:val="true"/>
              </w:rPr>
              <w:t xml:space="preserve">26. </w:t>
            </w:r>
            <w:r>
              <w:t xml:space="preserve">A defense used when a person commits an unlawful act because of a threat or coercion.</w:t>
            </w:r>
          </w:p>
          <w:p>
            <w:pPr>
              <w:keepLines/>
              <w:pStyle w:val="CluesTiny"/>
            </w:pPr>
            <w:r>
              <w:rPr>
                <w:b w:val="true"/>
                <w:bCs w:val="true"/>
              </w:rPr>
              <w:t xml:space="preserve">27. </w:t>
            </w:r>
            <w:r>
              <w:t xml:space="preserve">An accused person's inability to rationally consult with an attorney or to understand the nature of the proceedings</w:t>
            </w:r>
          </w:p>
          <w:p>
            <w:pPr>
              <w:keepLines/>
              <w:pStyle w:val="CluesTiny"/>
            </w:pPr>
            <w:r>
              <w:rPr>
                <w:b w:val="true"/>
                <w:bCs w:val="true"/>
              </w:rPr>
              <w:t xml:space="preserve">28. </w:t>
            </w:r>
            <w:r>
              <w:t xml:space="preserve">The reduction or lessening of a penalty or punishment imposed by law. </w:t>
            </w:r>
          </w:p>
          <w:p>
            <w:pPr>
              <w:keepLines/>
              <w:pStyle w:val="CluesTiny"/>
            </w:pPr>
            <w:r>
              <w:rPr>
                <w:b w:val="true"/>
                <w:bCs w:val="true"/>
              </w:rPr>
              <w:t xml:space="preserve">29. </w:t>
            </w:r>
            <w:r>
              <w:t xml:space="preserve">The killing of another without the mental element of malice aforethought </w:t>
            </w:r>
          </w:p>
          <w:p>
            <w:pPr>
              <w:keepLines/>
              <w:pStyle w:val="CluesTiny"/>
            </w:pPr>
            <w:r>
              <w:rPr>
                <w:b w:val="true"/>
                <w:bCs w:val="true"/>
              </w:rPr>
              <w:t xml:space="preserve">30. </w:t>
            </w:r>
            <w:r>
              <w:t xml:space="preserve">The killing of one human being by another </w:t>
            </w:r>
          </w:p>
          <w:p>
            <w:pPr>
              <w:keepLines/>
              <w:pStyle w:val="CluesTiny"/>
            </w:pPr>
            <w:r>
              <w:rPr>
                <w:b w:val="true"/>
                <w:bCs w:val="true"/>
              </w:rPr>
              <w:t xml:space="preserve">31. </w:t>
            </w:r>
            <w:r>
              <w:t xml:space="preserve">Any act that causes the death of another person with criminal intent and without lawful justification or excuse </w:t>
            </w:r>
          </w:p>
          <w:p>
            <w:pPr>
              <w:keepLines/>
              <w:pStyle w:val="CluesTiny"/>
            </w:pPr>
            <w:r>
              <w:rPr>
                <w:b w:val="true"/>
                <w:bCs w:val="true"/>
              </w:rPr>
              <w:t xml:space="preserve">32. </w:t>
            </w:r>
            <w:r>
              <w:t xml:space="preserve">A disturbance of mental or physical capabilities resulting from the introduction of any substance into the body</w:t>
            </w:r>
          </w:p>
        </w:tc>
        <w:tc>
          <w:p>
            <w:pPr>
              <w:pStyle w:val="CluesTiny"/>
            </w:pPr>
            <w:r>
              <w:rPr>
                <w:b w:val="true"/>
                <w:bCs w:val="true"/>
              </w:rPr>
              <w:t xml:space="preserve">Down</w:t>
            </w:r>
          </w:p>
          <w:p>
            <w:pPr>
              <w:keepLines/>
              <w:pStyle w:val="CluesTiny"/>
            </w:pPr>
            <w:r>
              <w:rPr>
                <w:b w:val="true"/>
                <w:bCs w:val="true"/>
              </w:rPr>
              <w:t xml:space="preserve">1. </w:t>
            </w:r>
            <w:r>
              <w:t xml:space="preserve">The rule used to establish the insanity defense. Under this rule it must be clearly proved that, at the time of the offense, the accused was laboring under such mental illness as to not to know the nature and quality of what he or she was doing. Also known as the (right-wrong) test.</w:t>
            </w:r>
          </w:p>
          <w:p>
            <w:pPr>
              <w:keepLines/>
              <w:pStyle w:val="CluesTiny"/>
            </w:pPr>
            <w:r>
              <w:rPr>
                <w:b w:val="true"/>
                <w:bCs w:val="true"/>
              </w:rPr>
              <w:t xml:space="preserve">4. </w:t>
            </w:r>
            <w:r>
              <w:t xml:space="preserve">Is a defense used when the victim agrees with the actors conduct.</w:t>
            </w:r>
          </w:p>
          <w:p>
            <w:pPr>
              <w:keepLines/>
              <w:pStyle w:val="CluesTiny"/>
            </w:pPr>
            <w:r>
              <w:rPr>
                <w:b w:val="true"/>
                <w:bCs w:val="true"/>
              </w:rPr>
              <w:t xml:space="preserve">5. </w:t>
            </w:r>
            <w:r>
              <w:t xml:space="preserve">The removal or restriction of freedom of those who have violated the criminal laws, usually by imprisonment </w:t>
            </w:r>
          </w:p>
          <w:p>
            <w:pPr>
              <w:keepLines/>
              <w:pStyle w:val="CluesTiny"/>
            </w:pPr>
            <w:r>
              <w:rPr>
                <w:b w:val="true"/>
                <w:bCs w:val="true"/>
              </w:rPr>
              <w:t xml:space="preserve">8. </w:t>
            </w:r>
            <w:r>
              <w:t xml:space="preserve">A state of mind connoting an abandoned and malignant heart.</w:t>
            </w:r>
          </w:p>
          <w:p>
            <w:pPr>
              <w:keepLines/>
              <w:pStyle w:val="CluesTiny"/>
            </w:pPr>
            <w:r>
              <w:rPr>
                <w:b w:val="true"/>
                <w:bCs w:val="true"/>
              </w:rPr>
              <w:t xml:space="preserve">9. </w:t>
            </w:r>
            <w:r>
              <w:t xml:space="preserve">A crime that has not been completed although it was intended to be. Example: attempt, conspiracy, and solicitation</w:t>
            </w:r>
          </w:p>
          <w:p>
            <w:pPr>
              <w:keepLines/>
              <w:pStyle w:val="CluesTiny"/>
            </w:pPr>
            <w:r>
              <w:rPr>
                <w:b w:val="true"/>
                <w:bCs w:val="true"/>
              </w:rPr>
              <w:t xml:space="preserve">10. </w:t>
            </w:r>
            <w:r>
              <w:t xml:space="preserve">Laws that impose sentences of 25 years to life for those who have been convicted of certain serious offenses three times. </w:t>
            </w:r>
          </w:p>
          <w:p>
            <w:pPr>
              <w:keepLines/>
              <w:pStyle w:val="CluesTiny"/>
            </w:pPr>
            <w:r>
              <w:rPr>
                <w:b w:val="true"/>
                <w:bCs w:val="true"/>
              </w:rPr>
              <w:t xml:space="preserve">11. </w:t>
            </w:r>
            <w:r>
              <w:t xml:space="preserve">One who first employs hostile force. </w:t>
            </w:r>
          </w:p>
          <w:p>
            <w:pPr>
              <w:keepLines/>
              <w:pStyle w:val="CluesTiny"/>
            </w:pPr>
            <w:r>
              <w:rPr>
                <w:b w:val="true"/>
                <w:bCs w:val="true"/>
              </w:rPr>
              <w:t xml:space="preserve">12. </w:t>
            </w:r>
            <w:r>
              <w:t xml:space="preserve">The killing of another with the mental element of malice aforethought </w:t>
            </w:r>
          </w:p>
          <w:p>
            <w:pPr>
              <w:keepLines/>
              <w:pStyle w:val="CluesTiny"/>
            </w:pPr>
            <w:r>
              <w:rPr>
                <w:b w:val="true"/>
                <w:bCs w:val="true"/>
              </w:rPr>
              <w:t xml:space="preserve">13. </w:t>
            </w:r>
            <w:r>
              <w:t xml:space="preserve">The act of seeking to persuade someone else to commit a crime with the intent that the crime be committed. </w:t>
            </w:r>
          </w:p>
          <w:p>
            <w:pPr>
              <w:keepLines/>
              <w:pStyle w:val="CluesTiny"/>
            </w:pPr>
            <w:r>
              <w:rPr>
                <w:b w:val="true"/>
                <w:bCs w:val="true"/>
              </w:rPr>
              <w:t xml:space="preserve">14. </w:t>
            </w:r>
            <w:r>
              <w:t xml:space="preserve">Occurs when a defendant voluntarily and completely renounces his or hers criminal purpose. </w:t>
            </w:r>
          </w:p>
          <w:p>
            <w:pPr>
              <w:keepLines/>
              <w:pStyle w:val="CluesTiny"/>
            </w:pPr>
            <w:r>
              <w:rPr>
                <w:b w:val="true"/>
                <w:bCs w:val="true"/>
              </w:rPr>
              <w:t xml:space="preserve">16. </w:t>
            </w:r>
            <w:r>
              <w:t xml:space="preserve">The principle that the punishment should fit the crime </w:t>
            </w:r>
          </w:p>
          <w:p>
            <w:pPr>
              <w:keepLines/>
              <w:pStyle w:val="CluesTiny"/>
            </w:pPr>
            <w:r>
              <w:rPr>
                <w:b w:val="true"/>
                <w:bCs w:val="true"/>
              </w:rPr>
              <w:t xml:space="preserve">21. </w:t>
            </w:r>
            <w:r>
              <w:t xml:space="preserve">Imposing punishment to using the eye for an eye tooth for a tooth principle</w:t>
            </w:r>
          </w:p>
          <w:p>
            <w:pPr>
              <w:keepLines/>
              <w:pStyle w:val="CluesTiny"/>
            </w:pPr>
            <w:r>
              <w:rPr>
                <w:b w:val="true"/>
                <w:bCs w:val="true"/>
              </w:rPr>
              <w:t xml:space="preserve">22. </w:t>
            </w:r>
            <w:r>
              <w:t xml:space="preserve">Factualy Impossibility when the intended end result constitutes a crime BUT the person fails to consummate the offense. An attendant circumstance is unknown to the suspect or beyond their control making the commission of the crime impossible.</w:t>
            </w:r>
          </w:p>
        </w:tc>
      </w:tr>
    </w:tbl>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WordBankLarge">
    <w:name w:val="WordBankLarge"/>
    <w:basedOn w:val="Normal"/>
    <w:qFormat/>
    <w:rsid w:val="00E467B9"/>
    <w:pPr>
      <w:spacing w:before="360" w:line="360" w:lineRule="auto"/>
      <w:jc w:val="center"/>
    </w:pPr>
    <w:rPr>
      <w:rFonts w:ascii="Arial" w:eastAsia="Arial" w:hAnsi="Arial" w:cs="Arial"/>
      <w:sz w:val="24"/>
      <w:szCs w:val="24"/>
    </w:rPr>
  </w:style>
  <w:style w:type="paragraph" w:customStyle="1" w:styleId="NameDatePeriod">
    <w:name w:val="NameDatePeriod"/>
    <w:basedOn w:val="Normal"/>
    <w:qFormat/>
    <w:rsid w:val="00E467B9"/>
    <w:pPr>
      <w:spacing w:after="360"/>
    </w:pPr>
    <w:rPr>
      <w:rFonts w:ascii="Arial" w:hAnsi="Arial"/>
      <w:sz w:val="24"/>
    </w:rPr>
  </w:style>
  <w:style w:type="paragraph" w:customStyle="1" w:styleId="PuzzleTitle">
    <w:name w:val="PuzzleTitle"/>
    <w:basedOn w:val="Normal"/>
    <w:qFormat/>
    <w:rsid w:val="00E467B9"/>
    <w:pPr>
      <w:spacing w:after="360"/>
      <w:jc w:val="center"/>
    </w:pPr>
    <w:rPr>
      <w:rFonts w:ascii="Arial" w:hAnsi="Arial"/>
      <w:sz w:val="44"/>
    </w:rPr>
  </w:style>
  <w:style w:type="paragraph" w:customStyle="1" w:styleId="PuzzleMatrixLarge">
    <w:name w:val="PuzzleMatrixLarge"/>
    <w:basedOn w:val="Normal"/>
    <w:qFormat/>
    <w:rsid w:val="004F6513"/>
    <w:pPr>
      <w:jc w:val="center"/>
    </w:pPr>
    <w:rPr>
      <w:rFonts w:ascii="Arial" w:hAnsi="Arial"/>
      <w:sz w:val="22"/>
    </w:rPr>
  </w:style>
  <w:style w:type="paragraph" w:customStyle="1" w:styleId="PuzzleMatrixMedium">
    <w:name w:val="PuzzleMatrixMedium"/>
    <w:basedOn w:val="PuzzleMatrixLarge"/>
    <w:qFormat/>
    <w:rsid w:val="0085042B"/>
    <w:rPr>
      <w:sz w:val="32"/>
    </w:rPr>
  </w:style>
  <w:style w:type="paragraph" w:customStyle="1" w:styleId="WordBankMedium">
    <w:name w:val="WordBankMedium"/>
    <w:basedOn w:val="WordBankLarge"/>
    <w:qFormat/>
    <w:rsid w:val="00461ACA"/>
    <w:rPr>
      <w:sz w:val="32"/>
    </w:rPr>
  </w:style>
  <w:style w:type="paragraph" w:customStyle="1" w:styleId="PuzzleMatrixSmall">
    <w:name w:val="PuzzleMatrixSmall"/>
    <w:basedOn w:val="PuzzleMatrixMedium"/>
    <w:qFormat/>
    <w:rsid w:val="00301033"/>
    <w:rPr>
      <w:sz w:val="48"/>
    </w:rPr>
  </w:style>
  <w:style w:type="paragraph" w:customStyle="1" w:styleId="WordBankSmall">
    <w:name w:val="WordBankSmall"/>
    <w:basedOn w:val="WordBankMedium"/>
    <w:qFormat/>
    <w:rsid w:val="00322374"/>
    <w:rPr>
      <w:sz w:val="48"/>
    </w:rPr>
  </w:style>
  <w:style w:type="paragraph" w:customStyle="1" w:styleId="CrossgridTiny">
    <w:name w:val="CrossgridTiny"/>
    <w:basedOn w:val="Normal"/>
    <w:qFormat/>
    <w:rsid w:val="004840F1"/>
    <w:rPr>
      <w:rFonts w:ascii="Arial" w:hAnsi="Arial"/>
      <w:sz w:val="16"/>
    </w:rPr>
  </w:style>
  <w:style w:type="paragraph" w:customStyle="1" w:styleId="CluesTiny">
    <w:name w:val="CluesTiny"/>
    <w:basedOn w:val="Normal"/>
    <w:qFormat/>
    <w:rsid w:val="00161011"/>
    <w:rPr>
      <w:rFonts w:ascii="Arial" w:hAnsi="Arial"/>
      <w:bCs/>
    </w:rPr>
  </w:style>
  <w:style w:type="paragraph" w:customStyle="1" w:styleId="CrossgridSmall">
    <w:name w:val="CrossgridSmall"/>
    <w:basedOn w:val="CrossgridTiny"/>
    <w:qFormat/>
    <w:rsid w:val="00A00D1B"/>
    <w:rPr>
      <w:sz w:val="18"/>
    </w:rPr>
  </w:style>
  <w:style w:type="paragraph" w:customStyle="1" w:styleId="CrossgridMedium">
    <w:name w:val="CrossgridMedium"/>
    <w:basedOn w:val="CrossgridSmall"/>
    <w:qFormat/>
    <w:rsid w:val="00487B1E"/>
    <w:rPr>
      <w:sz w:val="22"/>
    </w:rPr>
  </w:style>
  <w:style w:type="paragraph" w:customStyle="1" w:styleId="CluesMedium">
    <w:name w:val="CluesMedium"/>
    <w:basedOn w:val="CluesTiny"/>
    <w:qFormat/>
    <w:rsid w:val="00161011"/>
    <w:pPr>
      <w:keepLines/>
    </w:pPr>
    <w:rPr>
      <w:sz w:val="28"/>
    </w:rPr>
  </w:style>
  <w:style w:type="paragraph" w:customStyle="1" w:styleId="CrossgridLarge">
    <w:name w:val="CrossgridLarge"/>
    <w:basedOn w:val="CrossgridMedium"/>
    <w:qFormat/>
    <w:rsid w:val="003A1AB2"/>
    <w:rPr>
      <w:sz w:val="32"/>
    </w:rPr>
  </w:style>
  <w:style w:type="paragraph" w:customStyle="1" w:styleId="CluesLarge">
    <w:name w:val="CluesLarge"/>
    <w:basedOn w:val="CluesMedium"/>
    <w:qFormat/>
    <w:rsid w:val="00FD2E1F"/>
    <w:rPr>
      <w:sz w:val="40"/>
    </w:rPr>
  </w:style>
  <w:style w:type="paragraph" w:styleId="Header">
    <w:name w:val="header"/>
    <w:basedOn w:val="Normal"/>
    <w:link w:val="HeaderChar"/>
    <w:uiPriority w:val="99"/>
    <w:unhideWhenUsed/>
    <w:rsid w:val="00F503DF"/>
    <w:pPr>
      <w:tabs>
        <w:tab w:val="center" w:pos="4680"/>
        <w:tab w:val="right" w:pos="9360"/>
      </w:tabs>
    </w:pPr>
  </w:style>
  <w:style w:type="character" w:customStyle="1" w:styleId="HeaderChar">
    <w:name w:val="Header Char"/>
    <w:basedOn w:val="DefaultParagraphFont"/>
    <w:link w:val="Header"/>
    <w:uiPriority w:val="99"/>
    <w:rsid w:val="00F503DF"/>
  </w:style>
  <w:style w:type="paragraph" w:styleId="Footer">
    <w:name w:val="footer"/>
    <w:basedOn w:val="Normal"/>
    <w:link w:val="FooterChar"/>
    <w:uiPriority w:val="99"/>
    <w:unhideWhenUsed/>
    <w:rsid w:val="00F503DF"/>
    <w:pPr>
      <w:tabs>
        <w:tab w:val="center" w:pos="4680"/>
        <w:tab w:val="right" w:pos="9360"/>
      </w:tabs>
    </w:pPr>
  </w:style>
  <w:style w:type="character" w:customStyle="1" w:styleId="FooterChar">
    <w:name w:val="Footer Char"/>
    <w:basedOn w:val="DefaultParagraphFont"/>
    <w:link w:val="Footer"/>
    <w:uiPriority w:val="99"/>
    <w:rsid w:val="00F503DF"/>
  </w:style>
  <w:style w:type="paragraph" w:customStyle="1" w:styleId="CrossgridAnswerLarge">
    <w:name w:val="CrossgridAnswerLarge"/>
    <w:basedOn w:val="Normal"/>
    <w:qFormat/>
    <w:rsid w:val="00F503DF"/>
    <w:pPr>
      <w:jc w:val="center"/>
    </w:pPr>
    <w:rPr>
      <w:sz w:val="32"/>
    </w:rPr>
  </w:style>
  <w:style w:type="paragraph" w:customStyle="1" w:styleId="CrossgridAnswerTiny">
    <w:name w:val="CrossgridAnswerTiny"/>
    <w:basedOn w:val="Normal"/>
    <w:qFormat/>
    <w:rsid w:val="003B1CF4"/>
    <w:pPr>
      <w:jc w:val="center"/>
    </w:pPr>
    <w:rPr>
      <w:sz w:val="16"/>
    </w:rPr>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practice test 2</dc:title>
  <dcterms:created xsi:type="dcterms:W3CDTF">2021-10-11T14:45:09Z</dcterms:created>
  <dcterms:modified xsi:type="dcterms:W3CDTF">2021-10-11T14:45:09Z</dcterms:modified>
</cp:coreProperties>
</file>