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spinning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waves that pass a given point in a given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sensory signal indicating potential harm and maybe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visible part of the ear that protrudes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ear ossicle; also known as the anvil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middle ear ossicle; also known as the stirrup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temperature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light-sensitive lining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happens when sensory information is detected by a sensory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cue that requires only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middle ear ossicle; also known as the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carries visual information from the retina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conversion from sensory stimulus energy to action potential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auditory receptor cell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fluid-filled, snail-shaped structure that contains the sensory receptor cells of the auditory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perceive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perception of body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that sensory information is interpreted and consciously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colored portion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curved, transparent structure that provides additional focus for light entering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of a wave from one peak to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indentation in the retina that contains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perception of the body’s movement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where we cannot respond to visual information in that portion of the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partial or complete inability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opening in the eye through which light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cycles per second; measure of frequency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cochlea     </w:t>
      </w:r>
      <w:r>
        <w:t xml:space="preserve">   blindspot    </w:t>
      </w:r>
      <w:r>
        <w:t xml:space="preserve">   hertz    </w:t>
      </w:r>
      <w:r>
        <w:t xml:space="preserve">   frequency    </w:t>
      </w:r>
      <w:r>
        <w:t xml:space="preserve">   fovea    </w:t>
      </w:r>
      <w:r>
        <w:t xml:space="preserve">   kinesthesia    </w:t>
      </w:r>
      <w:r>
        <w:t xml:space="preserve">   lens    </w:t>
      </w:r>
      <w:r>
        <w:t xml:space="preserve">   nociception    </w:t>
      </w:r>
      <w:r>
        <w:t xml:space="preserve">   opticnerve    </w:t>
      </w:r>
      <w:r>
        <w:t xml:space="preserve">   perception    </w:t>
      </w:r>
      <w:r>
        <w:t xml:space="preserve">   pinna    </w:t>
      </w:r>
      <w:r>
        <w:t xml:space="preserve">   proprioception    </w:t>
      </w:r>
      <w:r>
        <w:t xml:space="preserve">   thermoception    </w:t>
      </w:r>
      <w:r>
        <w:t xml:space="preserve">   transduction    </w:t>
      </w:r>
      <w:r>
        <w:t xml:space="preserve">   trough    </w:t>
      </w:r>
      <w:r>
        <w:t xml:space="preserve">   vertigo    </w:t>
      </w:r>
      <w:r>
        <w:t xml:space="preserve">   wavelength    </w:t>
      </w:r>
      <w:r>
        <w:t xml:space="preserve">   deafness    </w:t>
      </w:r>
      <w:r>
        <w:t xml:space="preserve">   depthperception    </w:t>
      </w:r>
      <w:r>
        <w:t xml:space="preserve">   haircell    </w:t>
      </w:r>
      <w:r>
        <w:t xml:space="preserve">   iris    </w:t>
      </w:r>
      <w:r>
        <w:t xml:space="preserve">   incus    </w:t>
      </w:r>
      <w:r>
        <w:t xml:space="preserve">   malleus    </w:t>
      </w:r>
      <w:r>
        <w:t xml:space="preserve">   monocular cue     </w:t>
      </w:r>
      <w:r>
        <w:t xml:space="preserve">   peak    </w:t>
      </w:r>
      <w:r>
        <w:t xml:space="preserve">   pupil    </w:t>
      </w:r>
      <w:r>
        <w:t xml:space="preserve">   retina    </w:t>
      </w:r>
      <w:r>
        <w:t xml:space="preserve">   sensation    </w:t>
      </w:r>
      <w:r>
        <w:t xml:space="preserve">   stapes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</dc:title>
  <dcterms:created xsi:type="dcterms:W3CDTF">2021-10-11T14:59:25Z</dcterms:created>
  <dcterms:modified xsi:type="dcterms:W3CDTF">2021-10-11T14:59:25Z</dcterms:modified>
</cp:coreProperties>
</file>