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Absolute threshold    </w:t>
      </w:r>
      <w:r>
        <w:t xml:space="preserve">   Auditory nerve    </w:t>
      </w:r>
      <w:r>
        <w:t xml:space="preserve">   Forebrain    </w:t>
      </w:r>
      <w:r>
        <w:t xml:space="preserve">   Heredity    </w:t>
      </w:r>
      <w:r>
        <w:t xml:space="preserve">   Hindbrain    </w:t>
      </w:r>
      <w:r>
        <w:t xml:space="preserve">   Illusion    </w:t>
      </w:r>
      <w:r>
        <w:t xml:space="preserve">   Neurons    </w:t>
      </w:r>
      <w:r>
        <w:t xml:space="preserve">   Neurotransmitter    </w:t>
      </w:r>
      <w:r>
        <w:t xml:space="preserve">   Olfactory nerve    </w:t>
      </w:r>
      <w:r>
        <w:t xml:space="preserve">   Optic nerve    </w:t>
      </w:r>
      <w:r>
        <w:t xml:space="preserve">   Perception    </w:t>
      </w:r>
      <w:r>
        <w:t xml:space="preserve">   Sensation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2021-10-11T15:00:18Z</dcterms:created>
  <dcterms:modified xsi:type="dcterms:W3CDTF">2021-10-11T15:00:18Z</dcterms:modified>
</cp:coreProperties>
</file>