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psychology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relaxed state before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 ways in which people think, feel, and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twins that come from one fertilized egg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units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sleep-wake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preferred time people should move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twins that come from two different eggs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persons surroundings determine characteristics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the identity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transition period from  childhood to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cognitive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moral watchdog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maturation in teenage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training but CAN NOT prescribe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cycles of activity that the baby must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 moving in all directions in eye sockets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executive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brain associated with emotions and drives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chronic dieting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medical doctor who CAN prescribe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it feels good,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binging food and purging by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human and animal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awaken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characteristics obtained directly from genes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psychology    </w:t>
      </w:r>
      <w:r>
        <w:t xml:space="preserve">   psychiatrists    </w:t>
      </w:r>
      <w:r>
        <w:t xml:space="preserve">   psychologists    </w:t>
      </w:r>
      <w:r>
        <w:t xml:space="preserve">   nature    </w:t>
      </w:r>
      <w:r>
        <w:t xml:space="preserve">   nurture    </w:t>
      </w:r>
      <w:r>
        <w:t xml:space="preserve">   monozygotic    </w:t>
      </w:r>
      <w:r>
        <w:t xml:space="preserve">   dizygotic    </w:t>
      </w:r>
      <w:r>
        <w:t xml:space="preserve">   puberty    </w:t>
      </w:r>
      <w:r>
        <w:t xml:space="preserve">   adolescence    </w:t>
      </w:r>
      <w:r>
        <w:t xml:space="preserve">   limbic system    </w:t>
      </w:r>
      <w:r>
        <w:t xml:space="preserve">   james marcia    </w:t>
      </w:r>
      <w:r>
        <w:t xml:space="preserve">   bulimia    </w:t>
      </w:r>
      <w:r>
        <w:t xml:space="preserve">   anorexia    </w:t>
      </w:r>
      <w:r>
        <w:t xml:space="preserve">   personality    </w:t>
      </w:r>
      <w:r>
        <w:t xml:space="preserve">   biological rhythm    </w:t>
      </w:r>
      <w:r>
        <w:t xml:space="preserve">   circadian rhythm    </w:t>
      </w:r>
      <w:r>
        <w:t xml:space="preserve">   rapid eye movement     </w:t>
      </w:r>
      <w:r>
        <w:t xml:space="preserve">   twilight stage    </w:t>
      </w:r>
      <w:r>
        <w:t xml:space="preserve">   social clock    </w:t>
      </w:r>
      <w:r>
        <w:t xml:space="preserve">   dementia    </w:t>
      </w:r>
      <w:r>
        <w:t xml:space="preserve">   beta brain    </w:t>
      </w:r>
      <w:r>
        <w:t xml:space="preserve">   ego    </w:t>
      </w:r>
      <w:r>
        <w:t xml:space="preserve">   id    </w:t>
      </w:r>
      <w:r>
        <w:t xml:space="preserve">   superego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final</dc:title>
  <dcterms:created xsi:type="dcterms:W3CDTF">2021-10-11T15:00:15Z</dcterms:created>
  <dcterms:modified xsi:type="dcterms:W3CDTF">2021-10-11T15:00:15Z</dcterms:modified>
</cp:coreProperties>
</file>