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اليوم الوطني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</w:tbl>
    <w:p>
      <w:pPr>
        <w:pStyle w:val="WordBankLarge"/>
      </w:pPr>
      <w:r>
        <w:t xml:space="preserve">   أبوظبي    </w:t>
      </w:r>
      <w:r>
        <w:t xml:space="preserve">   أم القيوين    </w:t>
      </w:r>
      <w:r>
        <w:t xml:space="preserve">   الجهاز القضائي المستقل    </w:t>
      </w:r>
      <w:r>
        <w:t xml:space="preserve">   الشارقة    </w:t>
      </w:r>
      <w:r>
        <w:t xml:space="preserve">   الغاز الطبيعي    </w:t>
      </w:r>
      <w:r>
        <w:t xml:space="preserve">   الفجيرة    </w:t>
      </w:r>
      <w:r>
        <w:t xml:space="preserve">   المجلس الأعلى للاتحاد    </w:t>
      </w:r>
      <w:r>
        <w:t xml:space="preserve">   المجلس الوطني الاتحادي    </w:t>
      </w:r>
      <w:r>
        <w:t xml:space="preserve">   النفط    </w:t>
      </w:r>
      <w:r>
        <w:t xml:space="preserve">   حمد بن محمد الشرقي    </w:t>
      </w:r>
      <w:r>
        <w:t xml:space="preserve">   حميد بن راشد النعيمي    </w:t>
      </w:r>
      <w:r>
        <w:t xml:space="preserve">   خليفة بن زايد آل نهيان    </w:t>
      </w:r>
      <w:r>
        <w:t xml:space="preserve">   دبي    </w:t>
      </w:r>
      <w:r>
        <w:t xml:space="preserve">   رأس الخيمة    </w:t>
      </w:r>
      <w:r>
        <w:t xml:space="preserve">   راشد بن سعيد آل مكتوم    </w:t>
      </w:r>
      <w:r>
        <w:t xml:space="preserve">   زايد بن سلطان آل نهيان    </w:t>
      </w:r>
      <w:r>
        <w:t xml:space="preserve">   سعود بن راشد المعلا    </w:t>
      </w:r>
      <w:r>
        <w:t xml:space="preserve">   سعود بن صقر القاسمي    </w:t>
      </w:r>
      <w:r>
        <w:t xml:space="preserve">   سلطان بن محمد القاسمي    </w:t>
      </w:r>
      <w:r>
        <w:t xml:space="preserve">   شخبوط بن سلطان آل نهيان    </w:t>
      </w:r>
      <w:r>
        <w:t xml:space="preserve">   عجمان    </w:t>
      </w:r>
      <w:r>
        <w:t xml:space="preserve">   مجلس الوزراء    </w:t>
      </w:r>
      <w:r>
        <w:t xml:space="preserve">   محمد بن راشد آل مكتوم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اليوم الوطني</dc:title>
  <dcterms:created xsi:type="dcterms:W3CDTF">2021-11-29T03:38:53Z</dcterms:created>
  <dcterms:modified xsi:type="dcterms:W3CDTF">2021-11-29T03:38:53Z</dcterms:modified>
</cp:coreProperties>
</file>