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네, 이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음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미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당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는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니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좋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김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야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예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끼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쁘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미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안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여</w:t>
            </w:r>
          </w:p>
        </w:tc>
      </w:tr>
    </w:tbl>
    <w:p>
      <w:pPr>
        <w:pStyle w:val="WordBankMedium"/>
      </w:pPr>
      <w:r>
        <w:t xml:space="preserve">   셔츠    </w:t>
      </w:r>
      <w:r>
        <w:t xml:space="preserve">   자기야    </w:t>
      </w:r>
      <w:r>
        <w:t xml:space="preserve">   진짜    </w:t>
      </w:r>
      <w:r>
        <w:t xml:space="preserve">   나쁘다    </w:t>
      </w:r>
      <w:r>
        <w:t xml:space="preserve">   좋은    </w:t>
      </w:r>
      <w:r>
        <w:t xml:space="preserve">   아침    </w:t>
      </w:r>
      <w:r>
        <w:t xml:space="preserve">   니모    </w:t>
      </w:r>
      <w:r>
        <w:t xml:space="preserve">   당신    </w:t>
      </w:r>
      <w:r>
        <w:t xml:space="preserve">   저의    </w:t>
      </w:r>
      <w:r>
        <w:t xml:space="preserve">   중국    </w:t>
      </w:r>
      <w:r>
        <w:t xml:space="preserve">   한국    </w:t>
      </w:r>
      <w:r>
        <w:t xml:space="preserve">   미국    </w:t>
      </w:r>
      <w:r>
        <w:t xml:space="preserve">   나는    </w:t>
      </w:r>
      <w:r>
        <w:t xml:space="preserve">   앖습니다    </w:t>
      </w:r>
      <w:r>
        <w:t xml:space="preserve">   있습니다    </w:t>
      </w:r>
      <w:r>
        <w:t xml:space="preserve">   고양이    </w:t>
      </w:r>
      <w:r>
        <w:t xml:space="preserve">   이름    </w:t>
      </w:r>
      <w:r>
        <w:t xml:space="preserve">   토끼    </w:t>
      </w:r>
      <w:r>
        <w:t xml:space="preserve">   아이    </w:t>
      </w:r>
      <w:r>
        <w:t xml:space="preserve">   여자    </w:t>
      </w:r>
      <w:r>
        <w:t xml:space="preserve">   남자    </w:t>
      </w:r>
      <w:r>
        <w:t xml:space="preserve">   김치    </w:t>
      </w:r>
      <w:r>
        <w:t xml:space="preserve">   남자아이    </w:t>
      </w:r>
      <w:r>
        <w:t xml:space="preserve">   너는    </w:t>
      </w:r>
      <w:r>
        <w:t xml:space="preserve">   동물    </w:t>
      </w:r>
      <w:r>
        <w:t xml:space="preserve">   미안해    </w:t>
      </w:r>
      <w:r>
        <w:t xml:space="preserve">   바보    </w:t>
      </w:r>
      <w:r>
        <w:t xml:space="preserve">   방탄소년단    </w:t>
      </w:r>
      <w:r>
        <w:t xml:space="preserve">   뽀뽀    </w:t>
      </w:r>
      <w:r>
        <w:t xml:space="preserve">   사랑해    </w:t>
      </w:r>
      <w:r>
        <w:t xml:space="preserve">   석진    </w:t>
      </w:r>
      <w:r>
        <w:t xml:space="preserve">   아니요    </w:t>
      </w:r>
      <w:r>
        <w:t xml:space="preserve">   안녕하세요    </w:t>
      </w:r>
      <w:r>
        <w:t xml:space="preserve">   안녕히가세요    </w:t>
      </w:r>
      <w:r>
        <w:t xml:space="preserve">   여자아이    </w:t>
      </w:r>
      <w:r>
        <w:t xml:space="preserve">   예 네    </w:t>
      </w:r>
      <w:r>
        <w:t xml:space="preserve">   음식    </w:t>
      </w:r>
      <w:r>
        <w:t xml:space="preserve">   저는    </w:t>
      </w:r>
      <w:r>
        <w:t xml:space="preserve">   쩔어    </w:t>
      </w:r>
      <w:r>
        <w:t xml:space="preserve">   하나    </w:t>
      </w:r>
      <w:r>
        <w:t xml:space="preserve">   호석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네, 이</dc:title>
  <dcterms:created xsi:type="dcterms:W3CDTF">2021-10-11T22:45:53Z</dcterms:created>
  <dcterms:modified xsi:type="dcterms:W3CDTF">2021-10-11T22:45:53Z</dcterms:modified>
</cp:coreProperties>
</file>