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sedbrera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 legge per saperne di più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macchina fotografica...di Canaletto!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cameretta di Bossi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Nel Palazzo di Brera crearono una scuola ed un collegio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 indossa Boccioni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città in tempesta della Pala Portuense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siede a tavola con Gesù nel capolavoro di Caravaggio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tra le mani di Manzoni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ospita più santi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lo è la tavola “curva” di Raffaello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sospesa in aria nella Madonna del Crivelli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si trova nella loggia del Cortile d’Onore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prima di “Brera”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 è il capolavoro del Mantegna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 imbraccia il fanciullo di Cima da Conegliano nella pala di San Pietro Martire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nella Pala Sforzesca è ancora in fasce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 gotico della pittura di Gentile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nel Bacio, alleata dell’Italia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vittoria che Napoleone stringe tra le mani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genere di cui Evaristo è espertissimo!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 carte dei Bembo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San Girolamo se lo porta a spasso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il più piccolo dei Campi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il Pedro che nella Pala di Brera ridipinse le mani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pittrice di Brera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cognome di un pittore....e di un Direttore!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via milanese da cui provengono gli affreschi di Bramante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sul tetto della capanna nell'Adorazione dei Magi di Stefano da Verona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danno il soprannome al Ceruti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le tele veneziane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la sua bandiera sventola nella Crocifissione di Michele da Verona</w:t>
            </w:r>
          </w:p>
        </w:tc>
      </w:tr>
    </w:tbl>
    <w:p>
      <w:pPr>
        <w:pStyle w:val="WordBankLarge"/>
      </w:pPr>
      <w:r>
        <w:t xml:space="preserve">   braida    </w:t>
      </w:r>
      <w:r>
        <w:t xml:space="preserve">   gesuiti    </w:t>
      </w:r>
      <w:r>
        <w:t xml:space="preserve">   Orologio    </w:t>
      </w:r>
      <w:r>
        <w:t xml:space="preserve">   Lanzone    </w:t>
      </w:r>
      <w:r>
        <w:t xml:space="preserve">   Vincenzo    </w:t>
      </w:r>
      <w:r>
        <w:t xml:space="preserve">   Pitocchi    </w:t>
      </w:r>
      <w:r>
        <w:t xml:space="preserve">   Sofonisba    </w:t>
      </w:r>
      <w:r>
        <w:t xml:space="preserve">   Modigliani    </w:t>
      </w:r>
      <w:r>
        <w:t xml:space="preserve">   In scurto    </w:t>
      </w:r>
      <w:r>
        <w:t xml:space="preserve">   Alata    </w:t>
      </w:r>
      <w:r>
        <w:t xml:space="preserve">   Natura morta    </w:t>
      </w:r>
      <w:r>
        <w:t xml:space="preserve">   Berruguete     </w:t>
      </w:r>
      <w:r>
        <w:t xml:space="preserve">   Portiana    </w:t>
      </w:r>
      <w:r>
        <w:t xml:space="preserve">   Teleri    </w:t>
      </w:r>
      <w:r>
        <w:t xml:space="preserve">   Centinata    </w:t>
      </w:r>
      <w:r>
        <w:t xml:space="preserve">   Colbacco    </w:t>
      </w:r>
      <w:r>
        <w:t xml:space="preserve">   Tabacchiera    </w:t>
      </w:r>
      <w:r>
        <w:t xml:space="preserve">   Camera oscura    </w:t>
      </w:r>
      <w:r>
        <w:t xml:space="preserve">   Cleofa    </w:t>
      </w:r>
      <w:r>
        <w:t xml:space="preserve">   Francesco    </w:t>
      </w:r>
      <w:r>
        <w:t xml:space="preserve">   Polittico    </w:t>
      </w:r>
      <w:r>
        <w:t xml:space="preserve">   Francia    </w:t>
      </w:r>
      <w:r>
        <w:t xml:space="preserve">   Ravenna    </w:t>
      </w:r>
      <w:r>
        <w:t xml:space="preserve">   Internazionale    </w:t>
      </w:r>
      <w:r>
        <w:t xml:space="preserve">   Albania    </w:t>
      </w:r>
      <w:r>
        <w:t xml:space="preserve">   Liuto    </w:t>
      </w:r>
      <w:r>
        <w:t xml:space="preserve">   Candela    </w:t>
      </w:r>
      <w:r>
        <w:t xml:space="preserve">   Leone    </w:t>
      </w:r>
      <w:r>
        <w:t xml:space="preserve">   Didascalia    </w:t>
      </w:r>
      <w:r>
        <w:t xml:space="preserve">   Pavone    </w:t>
      </w:r>
      <w:r>
        <w:t xml:space="preserve">   Tarocchi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sedbrera</dc:title>
  <dcterms:created xsi:type="dcterms:W3CDTF">2021-10-11T16:26:15Z</dcterms:created>
  <dcterms:modified xsi:type="dcterms:W3CDTF">2021-10-11T16:26:15Z</dcterms:modified>
</cp:coreProperties>
</file>