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scar    </w:t>
      </w:r>
      <w:r>
        <w:t xml:space="preserve">   rosacea    </w:t>
      </w:r>
      <w:r>
        <w:t xml:space="preserve">   psoriasis    </w:t>
      </w:r>
      <w:r>
        <w:t xml:space="preserve">   primary lesions    </w:t>
      </w:r>
      <w:r>
        <w:t xml:space="preserve">   noncomedogenic    </w:t>
      </w:r>
      <w:r>
        <w:t xml:space="preserve">   hypopigmentation    </w:t>
      </w:r>
      <w:r>
        <w:t xml:space="preserve">   hyperpigmentation    </w:t>
      </w:r>
      <w:r>
        <w:t xml:space="preserve">   hyperhidrosis    </w:t>
      </w:r>
      <w:r>
        <w:t xml:space="preserve">   fissure    </w:t>
      </w:r>
      <w:r>
        <w:t xml:space="preserve">   excoriation    </w:t>
      </w:r>
      <w:r>
        <w:t xml:space="preserve">   eczema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2021-10-11T16:49:18Z</dcterms:created>
  <dcterms:modified xsi:type="dcterms:W3CDTF">2021-10-11T16:49:18Z</dcterms:modified>
</cp:coreProperties>
</file>