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statutory interpretation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sovereignty    </w:t>
      </w:r>
      <w:r>
        <w:t xml:space="preserve">   justice    </w:t>
      </w:r>
      <w:r>
        <w:t xml:space="preserve">   judges    </w:t>
      </w:r>
      <w:r>
        <w:t xml:space="preserve">   smith v hughes    </w:t>
      </w:r>
      <w:r>
        <w:t xml:space="preserve">   bigamy    </w:t>
      </w:r>
      <w:r>
        <w:t xml:space="preserve">   cheeseman    </w:t>
      </w:r>
      <w:r>
        <w:t xml:space="preserve">   purposive rule    </w:t>
      </w:r>
      <w:r>
        <w:t xml:space="preserve">   mischief rule    </w:t>
      </w:r>
      <w:r>
        <w:t xml:space="preserve">   literal rule    </w:t>
      </w:r>
      <w:r>
        <w:t xml:space="preserve">   golden rule    </w:t>
      </w:r>
      <w:r>
        <w:t xml:space="preserve">   repugnant situation    </w:t>
      </w:r>
      <w:r>
        <w:t xml:space="preserve">   statutory interpretation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interpretation</dc:title>
  <dcterms:created xsi:type="dcterms:W3CDTF">2021-10-11T18:02:10Z</dcterms:created>
  <dcterms:modified xsi:type="dcterms:W3CDTF">2021-10-11T18:02:10Z</dcterms:modified>
</cp:coreProperties>
</file>