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reticular    </w:t>
      </w:r>
      <w:r>
        <w:t xml:space="preserve">   papillary    </w:t>
      </w:r>
      <w:r>
        <w:t xml:space="preserve">   sweat glands    </w:t>
      </w:r>
      <w:r>
        <w:t xml:space="preserve">   pigment    </w:t>
      </w:r>
      <w:r>
        <w:t xml:space="preserve">   fibers    </w:t>
      </w:r>
      <w:r>
        <w:t xml:space="preserve">   protection    </w:t>
      </w:r>
      <w:r>
        <w:t xml:space="preserve">   nails    </w:t>
      </w:r>
      <w:r>
        <w:t xml:space="preserve">   hair    </w:t>
      </w:r>
      <w:r>
        <w:t xml:space="preserve">   carotene    </w:t>
      </w:r>
      <w:r>
        <w:t xml:space="preserve">   melanin    </w:t>
      </w:r>
      <w:r>
        <w:t xml:space="preserve">   melanocytes    </w:t>
      </w:r>
      <w:r>
        <w:t xml:space="preserve">   sensory receptors    </w:t>
      </w:r>
      <w:r>
        <w:t xml:space="preserve">   skin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2021-10-11T19:11:25Z</dcterms:created>
  <dcterms:modified xsi:type="dcterms:W3CDTF">2021-10-11T19:11:25Z</dcterms:modified>
</cp:coreProperties>
</file>