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mouse burglar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dithering    </w:t>
      </w:r>
      <w:r>
        <w:t xml:space="preserve">   burbling    </w:t>
      </w:r>
      <w:r>
        <w:t xml:space="preserve">   hesitantly    </w:t>
      </w:r>
      <w:r>
        <w:t xml:space="preserve">   eureka    </w:t>
      </w:r>
      <w:r>
        <w:t xml:space="preserve">   headway    </w:t>
      </w:r>
      <w:r>
        <w:t xml:space="preserve">   obvious    </w:t>
      </w:r>
      <w:r>
        <w:t xml:space="preserve">   suspicious    </w:t>
      </w:r>
      <w:r>
        <w:t xml:space="preserve">   inhabited    </w:t>
      </w:r>
      <w:r>
        <w:t xml:space="preserve">   trespass    </w:t>
      </w:r>
      <w:r>
        <w:t xml:space="preserve">   lavatory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 burglar</dc:title>
  <dcterms:created xsi:type="dcterms:W3CDTF">2021-10-11T19:18:37Z</dcterms:created>
  <dcterms:modified xsi:type="dcterms:W3CDTF">2021-10-11T19:18:37Z</dcterms:modified>
</cp:coreProperties>
</file>