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value of care in 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anti-discrimination    </w:t>
      </w:r>
      <w:r>
        <w:t xml:space="preserve">   belief    </w:t>
      </w:r>
      <w:r>
        <w:t xml:space="preserve">   confidentiality    </w:t>
      </w:r>
      <w:r>
        <w:t xml:space="preserve">   development    </w:t>
      </w:r>
      <w:r>
        <w:t xml:space="preserve">   diversity    </w:t>
      </w:r>
      <w:r>
        <w:t xml:space="preserve">   encouraging learning    </w:t>
      </w:r>
      <w:r>
        <w:t xml:space="preserve">   equality    </w:t>
      </w:r>
      <w:r>
        <w:t xml:space="preserve">   healthy environment    </w:t>
      </w:r>
      <w:r>
        <w:t xml:space="preserve">   rights    </w:t>
      </w:r>
      <w:r>
        <w:t xml:space="preserve">   safety    </w:t>
      </w:r>
      <w:r>
        <w:t xml:space="preserve">   welfare of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value of care in health and social care</dc:title>
  <dcterms:created xsi:type="dcterms:W3CDTF">2021-10-11T19:38:10Z</dcterms:created>
  <dcterms:modified xsi:type="dcterms:W3CDTF">2021-10-11T19:38:10Z</dcterms:modified>
</cp:coreProperties>
</file>