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uncodified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unwritten    </w:t>
      </w:r>
      <w:r>
        <w:t xml:space="preserve">   bill of rights    </w:t>
      </w:r>
      <w:r>
        <w:t xml:space="preserve">   reform act    </w:t>
      </w:r>
      <w:r>
        <w:t xml:space="preserve">   magna carta    </w:t>
      </w:r>
      <w:r>
        <w:t xml:space="preserve">   no protection    </w:t>
      </w:r>
      <w:r>
        <w:t xml:space="preserve">   adapt    </w:t>
      </w:r>
      <w:r>
        <w:t xml:space="preserve">   flexible    </w:t>
      </w:r>
      <w:r>
        <w:t xml:space="preserve">   unentrenched    </w:t>
      </w:r>
      <w:r>
        <w:t xml:space="preserve">   not superior laws    </w:t>
      </w:r>
      <w:r>
        <w:t xml:space="preserve">   different sources    </w:t>
      </w:r>
      <w:r>
        <w:t xml:space="preserve">   uncodified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uncodified constitution </dc:title>
  <dcterms:created xsi:type="dcterms:W3CDTF">2021-10-11T20:18:06Z</dcterms:created>
  <dcterms:modified xsi:type="dcterms:W3CDTF">2021-10-11T20:18:06Z</dcterms:modified>
</cp:coreProperties>
</file>