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faucet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wallpaper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cupboard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bathtub</w:t>
            </w:r>
          </w:p>
        </w:tc>
      </w:tr>
    </w:tbl>
    <w:p>
      <w:pPr>
        <w:pStyle w:val="WordBankMedium"/>
      </w:pPr>
      <w:r>
        <w:t xml:space="preserve">   lugares     </w:t>
      </w:r>
      <w:r>
        <w:t xml:space="preserve">   el hogar    </w:t>
      </w:r>
      <w:r>
        <w:t xml:space="preserve">   el cuarto    </w:t>
      </w:r>
      <w:r>
        <w:t xml:space="preserve">   la alacena    </w:t>
      </w:r>
      <w:r>
        <w:t xml:space="preserve">   la alfombra    </w:t>
      </w:r>
      <w:r>
        <w:t xml:space="preserve">   el armario    </w:t>
      </w:r>
      <w:r>
        <w:t xml:space="preserve">   la bañera    </w:t>
      </w:r>
      <w:r>
        <w:t xml:space="preserve">   el cajón    </w:t>
      </w:r>
      <w:r>
        <w:t xml:space="preserve">   la cocina    </w:t>
      </w:r>
      <w:r>
        <w:t xml:space="preserve">   la cortina    </w:t>
      </w:r>
      <w:r>
        <w:t xml:space="preserve">   la cuchara    </w:t>
      </w:r>
      <w:r>
        <w:t xml:space="preserve">   el cuchillo    </w:t>
      </w:r>
      <w:r>
        <w:t xml:space="preserve">   el piso     </w:t>
      </w:r>
      <w:r>
        <w:t xml:space="preserve">   el horno     </w:t>
      </w:r>
      <w:r>
        <w:t xml:space="preserve">   el jardín    </w:t>
      </w:r>
      <w:r>
        <w:t xml:space="preserve">   el enpapelado    </w:t>
      </w:r>
      <w:r>
        <w:t xml:space="preserve">   el fregadero    </w:t>
      </w:r>
      <w:r>
        <w:t xml:space="preserve">   el grifo     </w:t>
      </w:r>
      <w:r>
        <w:t xml:space="preserve">   el mueble    </w:t>
      </w:r>
      <w:r>
        <w:t xml:space="preserve">   la silla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2021-10-11T21:04:55Z</dcterms:created>
  <dcterms:modified xsi:type="dcterms:W3CDTF">2021-10-11T21:04:55Z</dcterms:modified>
</cp:coreProperties>
</file>